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268" w:rsidRDefault="003B3268" w:rsidP="003B3268">
      <w:pPr>
        <w:jc w:val="center"/>
        <w:rPr>
          <w:rFonts w:ascii="Times New Roman" w:hAnsi="Times New Roman" w:cs="Times New Roman"/>
          <w:b/>
          <w:sz w:val="24"/>
          <w:szCs w:val="24"/>
        </w:rPr>
      </w:pPr>
      <w:r>
        <w:rPr>
          <w:noProof/>
          <w:sz w:val="24"/>
          <w:szCs w:val="24"/>
          <w:lang w:eastAsia="tr-TR"/>
        </w:rPr>
        <w:drawing>
          <wp:inline distT="0" distB="0" distL="0" distR="0" wp14:anchorId="5C703699" wp14:editId="57EB789A">
            <wp:extent cx="719455" cy="909320"/>
            <wp:effectExtent l="0" t="0" r="4445"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Resim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0000" cy="909470"/>
                    </a:xfrm>
                    <a:prstGeom prst="rect">
                      <a:avLst/>
                    </a:prstGeom>
                    <a:noFill/>
                    <a:ln>
                      <a:noFill/>
                    </a:ln>
                  </pic:spPr>
                </pic:pic>
              </a:graphicData>
            </a:graphic>
          </wp:inline>
        </w:drawing>
      </w:r>
    </w:p>
    <w:p w:rsidR="003B3268" w:rsidRDefault="003B3268" w:rsidP="003B3268">
      <w:pPr>
        <w:jc w:val="center"/>
        <w:rPr>
          <w:rFonts w:ascii="Times New Roman" w:hAnsi="Times New Roman" w:cs="Times New Roman"/>
          <w:b/>
          <w:sz w:val="24"/>
          <w:szCs w:val="24"/>
        </w:rPr>
      </w:pPr>
      <w:r>
        <w:rPr>
          <w:rFonts w:ascii="Times New Roman" w:hAnsi="Times New Roman" w:cs="Times New Roman"/>
          <w:b/>
          <w:sz w:val="24"/>
          <w:szCs w:val="24"/>
        </w:rPr>
        <w:t>BORU HATLARI İLE PETROL TAŞIMA A.Ş.</w:t>
      </w:r>
    </w:p>
    <w:p w:rsidR="003B3268" w:rsidRDefault="003B3268" w:rsidP="003B3268">
      <w:pPr>
        <w:jc w:val="center"/>
        <w:rPr>
          <w:rFonts w:ascii="Times New Roman" w:hAnsi="Times New Roman" w:cs="Times New Roman"/>
          <w:b/>
          <w:sz w:val="24"/>
          <w:szCs w:val="24"/>
        </w:rPr>
      </w:pPr>
    </w:p>
    <w:p w:rsidR="003B3268" w:rsidRDefault="003B3268" w:rsidP="003B3268">
      <w:pPr>
        <w:jc w:val="center"/>
        <w:rPr>
          <w:rFonts w:ascii="Times New Roman" w:hAnsi="Times New Roman" w:cs="Times New Roman"/>
          <w:b/>
          <w:sz w:val="24"/>
          <w:szCs w:val="24"/>
        </w:rPr>
      </w:pPr>
      <w:r>
        <w:rPr>
          <w:rFonts w:ascii="Times New Roman" w:hAnsi="Times New Roman" w:cs="Times New Roman"/>
          <w:b/>
          <w:sz w:val="24"/>
          <w:szCs w:val="24"/>
        </w:rPr>
        <w:t>MALKOÇLAR/STRANCA ENTERKONNEKSİYON NOKTASINA İLİŞKİN İHRACAT KAPASİTESİ DUYURUSU</w:t>
      </w:r>
    </w:p>
    <w:p w:rsidR="003B3268" w:rsidRDefault="003B3268" w:rsidP="003B3268">
      <w:pPr>
        <w:jc w:val="center"/>
        <w:rPr>
          <w:rFonts w:ascii="Times New Roman" w:hAnsi="Times New Roman" w:cs="Times New Roman"/>
          <w:b/>
          <w:sz w:val="24"/>
          <w:szCs w:val="24"/>
        </w:rPr>
      </w:pPr>
    </w:p>
    <w:p w:rsidR="003B3268" w:rsidRDefault="003B3268" w:rsidP="003B3268">
      <w:pPr>
        <w:ind w:firstLine="708"/>
        <w:jc w:val="both"/>
        <w:rPr>
          <w:rFonts w:ascii="Times New Roman" w:hAnsi="Times New Roman" w:cs="Times New Roman"/>
          <w:sz w:val="24"/>
          <w:szCs w:val="24"/>
        </w:rPr>
      </w:pPr>
      <w:r>
        <w:rPr>
          <w:rFonts w:ascii="Times New Roman" w:hAnsi="Times New Roman" w:cs="Times New Roman"/>
          <w:sz w:val="24"/>
          <w:szCs w:val="24"/>
        </w:rPr>
        <w:t>İşbu duyuru; 8 Ağustos 2023 tarihli ve 32157 sayılı Resmi Gazete’de yayımlanan “</w:t>
      </w:r>
      <w:r>
        <w:rPr>
          <w:rFonts w:ascii="Times New Roman" w:hAnsi="Times New Roman" w:cs="Times New Roman"/>
          <w:i/>
          <w:sz w:val="24"/>
          <w:szCs w:val="24"/>
        </w:rPr>
        <w:t>Doğal Gaz İhracat Çıkış Noktalarının Kullanımına İlişkin Usul ve Esaslar”</w:t>
      </w:r>
      <w:r>
        <w:rPr>
          <w:rFonts w:ascii="Times New Roman" w:hAnsi="Times New Roman" w:cs="Times New Roman"/>
          <w:sz w:val="24"/>
          <w:szCs w:val="24"/>
        </w:rPr>
        <w:t xml:space="preserve"> ile 12 Ağustos 2023 tarihli ve 32277 sayılı Resmi Gazete’de yayımlanan </w:t>
      </w:r>
      <w:r>
        <w:rPr>
          <w:rFonts w:ascii="Times New Roman" w:hAnsi="Times New Roman" w:cs="Times New Roman"/>
          <w:i/>
          <w:sz w:val="24"/>
          <w:szCs w:val="24"/>
        </w:rPr>
        <w:t>“Doğal Gaz İhracatında Uygulanacak İletim Kapasite Bedeline İlişkin Usul ve Esaslar”</w:t>
      </w:r>
      <w:r>
        <w:rPr>
          <w:rFonts w:ascii="Times New Roman" w:hAnsi="Times New Roman" w:cs="Times New Roman"/>
          <w:sz w:val="24"/>
          <w:szCs w:val="24"/>
        </w:rPr>
        <w:t xml:space="preserve"> kapsamında Malkoçlar/Stranca İhracat Çıkış Noktası için yapılacak kapasite rezervasyonlarına ilişkin olarak yapılmaktadır. </w:t>
      </w:r>
    </w:p>
    <w:p w:rsidR="003B3268" w:rsidRDefault="003B3268" w:rsidP="003B3268">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Kapasite Miktarı ve Gaz Kullanım Eşiği </w:t>
      </w:r>
    </w:p>
    <w:p w:rsidR="003B3268" w:rsidRDefault="003B3268" w:rsidP="003B3268">
      <w:pPr>
        <w:jc w:val="both"/>
        <w:rPr>
          <w:rFonts w:ascii="Times New Roman" w:hAnsi="Times New Roman" w:cs="Times New Roman"/>
          <w:sz w:val="24"/>
          <w:szCs w:val="24"/>
        </w:rPr>
      </w:pPr>
      <w:r>
        <w:rPr>
          <w:rFonts w:ascii="Times New Roman" w:hAnsi="Times New Roman" w:cs="Times New Roman"/>
          <w:sz w:val="24"/>
          <w:szCs w:val="24"/>
        </w:rPr>
        <w:tab/>
        <w:t xml:space="preserve">Malkoçlar/Stranca İhracat Çıkış Noktası için Maksimum Ayrılabilir Kapasite (MAK) değeri, Usul Esaslar kapsamında aşağıdaki tabloda yer almaktadır. </w:t>
      </w:r>
    </w:p>
    <w:p w:rsidR="003B3268" w:rsidRDefault="003B3268" w:rsidP="007D1979">
      <w:pPr>
        <w:ind w:firstLine="708"/>
        <w:jc w:val="both"/>
        <w:rPr>
          <w:rFonts w:ascii="Times New Roman" w:hAnsi="Times New Roman" w:cs="Times New Roman"/>
          <w:sz w:val="24"/>
          <w:szCs w:val="24"/>
        </w:rPr>
      </w:pPr>
    </w:p>
    <w:tbl>
      <w:tblPr>
        <w:tblStyle w:val="TabloKlavuzu"/>
        <w:tblW w:w="9067" w:type="dxa"/>
        <w:jc w:val="center"/>
        <w:tblLook w:val="04A0" w:firstRow="1" w:lastRow="0" w:firstColumn="1" w:lastColumn="0" w:noHBand="0" w:noVBand="1"/>
      </w:tblPr>
      <w:tblGrid>
        <w:gridCol w:w="2216"/>
        <w:gridCol w:w="1416"/>
        <w:gridCol w:w="1823"/>
        <w:gridCol w:w="1822"/>
        <w:gridCol w:w="1790"/>
      </w:tblGrid>
      <w:tr w:rsidR="003B3268" w:rsidTr="00A82B89">
        <w:trPr>
          <w:trHeight w:val="503"/>
          <w:jc w:val="center"/>
        </w:trPr>
        <w:tc>
          <w:tcPr>
            <w:tcW w:w="2263" w:type="dxa"/>
            <w:vAlign w:val="center"/>
          </w:tcPr>
          <w:p w:rsidR="003B3268" w:rsidRDefault="00A82B89" w:rsidP="00270982">
            <w:pPr>
              <w:spacing w:after="0" w:line="240" w:lineRule="auto"/>
              <w:jc w:val="both"/>
              <w:rPr>
                <w:rFonts w:ascii="Times New Roman" w:hAnsi="Times New Roman" w:cs="Times New Roman"/>
                <w:b/>
                <w:sz w:val="24"/>
                <w:szCs w:val="24"/>
              </w:rPr>
            </w:pPr>
            <w:r w:rsidRPr="00270982">
              <w:rPr>
                <w:rFonts w:ascii="Times New Roman" w:hAnsi="Times New Roman" w:cs="Times New Roman"/>
                <w:sz w:val="24"/>
                <w:szCs w:val="24"/>
              </w:rPr>
              <w:t xml:space="preserve">2025-2035 </w:t>
            </w:r>
            <w:r w:rsidR="00270982" w:rsidRPr="00270982">
              <w:rPr>
                <w:rFonts w:ascii="Times New Roman" w:hAnsi="Times New Roman" w:cs="Times New Roman"/>
                <w:sz w:val="24"/>
                <w:szCs w:val="24"/>
              </w:rPr>
              <w:t>Dönemi</w:t>
            </w:r>
            <w:r w:rsidRPr="00270982">
              <w:rPr>
                <w:rFonts w:ascii="Times New Roman" w:hAnsi="Times New Roman" w:cs="Times New Roman"/>
                <w:sz w:val="24"/>
                <w:szCs w:val="24"/>
              </w:rPr>
              <w:t xml:space="preserve"> </w:t>
            </w:r>
          </w:p>
        </w:tc>
        <w:tc>
          <w:tcPr>
            <w:tcW w:w="1302" w:type="dxa"/>
            <w:shd w:val="clear" w:color="auto" w:fill="E7E6E6" w:themeFill="background2"/>
            <w:vAlign w:val="center"/>
          </w:tcPr>
          <w:p w:rsidR="003B3268" w:rsidRDefault="003B3268" w:rsidP="00637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1.Çeyrek Dönem</w:t>
            </w:r>
          </w:p>
        </w:tc>
        <w:tc>
          <w:tcPr>
            <w:tcW w:w="1846" w:type="dxa"/>
            <w:shd w:val="clear" w:color="auto" w:fill="E7E6E6" w:themeFill="background2"/>
            <w:vAlign w:val="center"/>
          </w:tcPr>
          <w:p w:rsidR="003B3268" w:rsidRDefault="003B3268" w:rsidP="00637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Çeyrek Dönem</w:t>
            </w:r>
          </w:p>
        </w:tc>
        <w:tc>
          <w:tcPr>
            <w:tcW w:w="1845" w:type="dxa"/>
            <w:shd w:val="clear" w:color="auto" w:fill="E7E6E6" w:themeFill="background2"/>
            <w:vAlign w:val="center"/>
          </w:tcPr>
          <w:p w:rsidR="003B3268" w:rsidRDefault="003B3268" w:rsidP="00637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Çeyrek Dönem</w:t>
            </w:r>
          </w:p>
        </w:tc>
        <w:tc>
          <w:tcPr>
            <w:tcW w:w="1811" w:type="dxa"/>
            <w:shd w:val="clear" w:color="auto" w:fill="E7E6E6" w:themeFill="background2"/>
            <w:vAlign w:val="center"/>
          </w:tcPr>
          <w:p w:rsidR="003B3268" w:rsidRDefault="003B3268" w:rsidP="00637EF4">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4. Çeyrek Dönem</w:t>
            </w:r>
          </w:p>
        </w:tc>
      </w:tr>
      <w:tr w:rsidR="003B3268" w:rsidTr="00637EF4">
        <w:trPr>
          <w:jc w:val="center"/>
        </w:trPr>
        <w:tc>
          <w:tcPr>
            <w:tcW w:w="2263" w:type="dxa"/>
            <w:shd w:val="clear" w:color="auto" w:fill="E7E6E6" w:themeFill="background2"/>
            <w:vAlign w:val="center"/>
          </w:tcPr>
          <w:p w:rsidR="003B3268" w:rsidRDefault="003B3268" w:rsidP="00637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Maksimum Ayrılabilir Kapasite Miktarı (Sm</w:t>
            </w:r>
            <w:r>
              <w:rPr>
                <w:rFonts w:ascii="Times New Roman" w:hAnsi="Times New Roman" w:cs="Times New Roman"/>
                <w:b/>
                <w:sz w:val="24"/>
                <w:szCs w:val="24"/>
                <w:vertAlign w:val="superscript"/>
              </w:rPr>
              <w:t>3</w:t>
            </w:r>
            <w:r>
              <w:rPr>
                <w:rFonts w:ascii="Times New Roman" w:hAnsi="Times New Roman" w:cs="Times New Roman"/>
                <w:b/>
                <w:sz w:val="24"/>
                <w:szCs w:val="24"/>
              </w:rPr>
              <w:t>/gün)</w:t>
            </w:r>
          </w:p>
        </w:tc>
        <w:tc>
          <w:tcPr>
            <w:tcW w:w="1302" w:type="dxa"/>
            <w:vAlign w:val="center"/>
          </w:tcPr>
          <w:p w:rsidR="003B3268" w:rsidRDefault="003B3268" w:rsidP="00637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10.000.000</w:t>
            </w:r>
          </w:p>
        </w:tc>
        <w:tc>
          <w:tcPr>
            <w:tcW w:w="1846" w:type="dxa"/>
            <w:vAlign w:val="center"/>
          </w:tcPr>
          <w:p w:rsidR="003B3268" w:rsidRDefault="003B3268" w:rsidP="00637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11.000.000</w:t>
            </w:r>
          </w:p>
        </w:tc>
        <w:tc>
          <w:tcPr>
            <w:tcW w:w="1845" w:type="dxa"/>
            <w:vAlign w:val="center"/>
          </w:tcPr>
          <w:p w:rsidR="003B3268" w:rsidRDefault="003B3268" w:rsidP="00637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11.000.000</w:t>
            </w:r>
          </w:p>
        </w:tc>
        <w:tc>
          <w:tcPr>
            <w:tcW w:w="1811" w:type="dxa"/>
            <w:vAlign w:val="center"/>
          </w:tcPr>
          <w:p w:rsidR="003B3268" w:rsidRDefault="003B3268" w:rsidP="00637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10.000.000</w:t>
            </w:r>
          </w:p>
        </w:tc>
      </w:tr>
      <w:tr w:rsidR="003B3268" w:rsidTr="00637EF4">
        <w:trPr>
          <w:jc w:val="center"/>
        </w:trPr>
        <w:tc>
          <w:tcPr>
            <w:tcW w:w="2263" w:type="dxa"/>
            <w:shd w:val="clear" w:color="auto" w:fill="E7E6E6" w:themeFill="background2"/>
            <w:vAlign w:val="center"/>
          </w:tcPr>
          <w:p w:rsidR="003B3268" w:rsidRDefault="003B3268" w:rsidP="00637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Maksimum Ayrılabilir Kapasite Miktarı (kWh/gün)</w:t>
            </w:r>
          </w:p>
        </w:tc>
        <w:tc>
          <w:tcPr>
            <w:tcW w:w="1302" w:type="dxa"/>
            <w:vAlign w:val="center"/>
          </w:tcPr>
          <w:p w:rsidR="003B3268" w:rsidRDefault="003B3268" w:rsidP="00637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106.400.000</w:t>
            </w:r>
          </w:p>
        </w:tc>
        <w:tc>
          <w:tcPr>
            <w:tcW w:w="1846" w:type="dxa"/>
            <w:vAlign w:val="center"/>
          </w:tcPr>
          <w:p w:rsidR="003B3268" w:rsidRDefault="003B3268" w:rsidP="00637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117.040.000</w:t>
            </w:r>
          </w:p>
        </w:tc>
        <w:tc>
          <w:tcPr>
            <w:tcW w:w="1845" w:type="dxa"/>
            <w:vAlign w:val="center"/>
          </w:tcPr>
          <w:p w:rsidR="003B3268" w:rsidRDefault="003B3268" w:rsidP="00637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117.040.000</w:t>
            </w:r>
          </w:p>
        </w:tc>
        <w:tc>
          <w:tcPr>
            <w:tcW w:w="1811" w:type="dxa"/>
            <w:vAlign w:val="center"/>
          </w:tcPr>
          <w:p w:rsidR="003B3268" w:rsidRDefault="003B3268" w:rsidP="00637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106.400.000</w:t>
            </w:r>
          </w:p>
        </w:tc>
      </w:tr>
    </w:tbl>
    <w:p w:rsidR="003B3268" w:rsidRDefault="003B3268" w:rsidP="003B3268">
      <w:pPr>
        <w:jc w:val="both"/>
        <w:rPr>
          <w:rFonts w:ascii="Times New Roman" w:hAnsi="Times New Roman" w:cs="Times New Roman"/>
          <w:sz w:val="24"/>
          <w:szCs w:val="24"/>
        </w:rPr>
      </w:pPr>
    </w:p>
    <w:p w:rsidR="003B3268" w:rsidRDefault="003B3268" w:rsidP="003B326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Tablo 2’de belirtilen MAK değerleri revize edilmesi halinde her gaz yılı için en geç 31 Ekim tarihine kadar, aylık ve çeyrek dönemler için ise ŞİD Bölüm 2 Atıl Kapasite son başvuru tarihine kadar ilan edilecektir. </w:t>
      </w:r>
    </w:p>
    <w:p w:rsidR="003B3268" w:rsidRDefault="003B3268" w:rsidP="003B326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Malkoçlar/Stranca İhracat Çıkış Noktasındaki Gaz Kullanım Eşiği (GKE) 209.707 Sm</w:t>
      </w:r>
      <w:r>
        <w:rPr>
          <w:rFonts w:ascii="Times New Roman" w:hAnsi="Times New Roman" w:cs="Times New Roman"/>
          <w:sz w:val="24"/>
          <w:szCs w:val="24"/>
          <w:vertAlign w:val="superscript"/>
        </w:rPr>
        <w:t>3</w:t>
      </w:r>
      <w:r>
        <w:rPr>
          <w:rFonts w:ascii="Times New Roman" w:hAnsi="Times New Roman" w:cs="Times New Roman"/>
          <w:sz w:val="24"/>
          <w:szCs w:val="24"/>
        </w:rPr>
        <w:t>/gün olup anılan miktarın altındaki kapasite talepleri değerlendirilmeyecektir.</w:t>
      </w:r>
    </w:p>
    <w:p w:rsidR="003B3268" w:rsidRDefault="003B3268" w:rsidP="003B326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Rezerve edilmemiş olan kapasiteler ŞİD Bölüm 2 Atıl Kapasite Başvuruları prosedürü kapsamında değerlendirilecektir. </w:t>
      </w:r>
    </w:p>
    <w:p w:rsidR="003B3268" w:rsidRDefault="003B3268" w:rsidP="003B326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İletim sistemi gereklilikleri kapsamında herhangi bir kapasite kısıtına ihtiyaç duyulması halinde uygulanacak kesintili kapasite miktarı en geç G-2 gaz gününde Elektronik Bülten Tablosunda (EBT) duyurulacaktır.</w:t>
      </w:r>
    </w:p>
    <w:p w:rsidR="003B3268" w:rsidRDefault="003B3268" w:rsidP="003B326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Kapasite rezervasyonu işlemlerinde; yurt dışı operatörü ile uzun dönemli anlaşması olan Taşıtan ve/veya arz güvenliğinden sorumlu Taşıtanın kapasite başvuru talepleri öncelikli olarak değerlendirilir. Kalan miktar ise başvuran Taşıtanların talep miktarı ve/veya yurtdışı </w:t>
      </w:r>
      <w:r>
        <w:rPr>
          <w:rFonts w:ascii="Times New Roman" w:hAnsi="Times New Roman" w:cs="Times New Roman"/>
          <w:sz w:val="24"/>
          <w:szCs w:val="24"/>
        </w:rPr>
        <w:lastRenderedPageBreak/>
        <w:t xml:space="preserve">operatörlerle yapılan günlük sözleşme miktarı (hangisi düşük ise) oranında rezerve edilir. Atıl kapasite rezervasyon işlemleri, başvuru sıralamasına göre öncelikli olarak değerlendirilir. </w:t>
      </w:r>
    </w:p>
    <w:p w:rsidR="003B3268" w:rsidRPr="003B3268" w:rsidRDefault="003B3268" w:rsidP="003B3268">
      <w:pPr>
        <w:pStyle w:val="ListeParagraf"/>
        <w:jc w:val="both"/>
        <w:rPr>
          <w:rFonts w:ascii="Times New Roman" w:hAnsi="Times New Roman" w:cs="Times New Roman"/>
          <w:sz w:val="24"/>
          <w:szCs w:val="24"/>
        </w:rPr>
      </w:pPr>
    </w:p>
    <w:p w:rsidR="003B3268" w:rsidRDefault="003B3268" w:rsidP="003B3268">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Kapasite Başvurusunda Bulunacak İstekliler Tarafından Sağlanacak Bilgi ve Belgeler</w:t>
      </w:r>
    </w:p>
    <w:p w:rsidR="003B3268" w:rsidRDefault="003B3268" w:rsidP="003B3268">
      <w:pPr>
        <w:pStyle w:val="ListeParagraf"/>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Bulgartransgaz EAD İletim Operatöründen doğal gaz teslimatına ilişkin sözleşme ve ilgili ülkedeki Taşıtan/Taşıtanlar ile yapılan sözleşme, </w:t>
      </w:r>
    </w:p>
    <w:p w:rsidR="003B3268" w:rsidRDefault="003B3268" w:rsidP="003B3268">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İhracat kapasite rezervasyonuna başvurulacak dönem/dönemler için Taşıyıcı ile Standart Taşıma Sözleşmesinin (STS) bulunması,</w:t>
      </w:r>
    </w:p>
    <w:p w:rsidR="003B3268" w:rsidRDefault="003B3268" w:rsidP="003B3268">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Taşıyıcı tarafından sunulan ihracat çıkış noktasına göre düzenlenmiş ve Taşıtan tarafından imzalanacak olan Taşıma Sözleşmesi ve/veya STS Ek Protokolü</w:t>
      </w:r>
    </w:p>
    <w:p w:rsidR="003B3268" w:rsidRDefault="003B3268" w:rsidP="003B3268">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İhracata konu doğal gaz miktarının iletim şebekesine teslim edileceği giriş noktalarındaki operatörlerden (depo, üretim, ithalat) alınacak teyit, taahhüt yazıları ve/veya kesin teminat mektubu veya nakdi karşılığı tutar</w:t>
      </w:r>
    </w:p>
    <w:p w:rsidR="003B3268" w:rsidRDefault="003B3268" w:rsidP="003B3268">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Uzun dönemli kapasite başvurularında operatörlerden (depo, üretim, ithalat) alınacak teyit, taahhüt yazıları ve/veya kesin teminat mektupları her gaz yılı başlangıcında yenilenerek Taşıyıcıya sunulacaktır. </w:t>
      </w:r>
    </w:p>
    <w:p w:rsidR="003B3268" w:rsidRPr="003B3268" w:rsidRDefault="003B3268" w:rsidP="003B3268">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Uzun dönemli kapasite rezervasyon hakkına sahip olan ve Taşıma Sözleşmesi ve/veya STS Ek Protokolü imzalayan Taşıtanlar, her halükarda her gaz yılı öncesi STS imzalamakla yükümlüdür. Aksi takdirde Taşıtanın rezerv kapasite hakları iptal edilerek daha önce rezerve edilmiş kapasiteden doğacak borçları muaccel hale gelir ve kapasitenin iptal edildiği yılın tarifesi üzerinden defaten tahsil edilir.</w:t>
      </w:r>
    </w:p>
    <w:p w:rsidR="003B3268" w:rsidRDefault="003B3268" w:rsidP="003B3268">
      <w:pPr>
        <w:pStyle w:val="ListeParagraf"/>
        <w:ind w:left="644"/>
        <w:jc w:val="both"/>
        <w:rPr>
          <w:rFonts w:ascii="Times New Roman" w:hAnsi="Times New Roman" w:cs="Times New Roman"/>
          <w:sz w:val="24"/>
          <w:szCs w:val="24"/>
        </w:rPr>
      </w:pPr>
    </w:p>
    <w:p w:rsidR="003B3268" w:rsidRDefault="003B3268" w:rsidP="003B3268">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Taşıma Miktar Bildirimi (TMB-TMDB)</w:t>
      </w:r>
    </w:p>
    <w:p w:rsidR="003B3268" w:rsidRDefault="003B3268" w:rsidP="003B3268">
      <w:pPr>
        <w:ind w:firstLine="708"/>
        <w:jc w:val="both"/>
        <w:rPr>
          <w:rFonts w:ascii="Times New Roman" w:hAnsi="Times New Roman" w:cs="Times New Roman"/>
          <w:sz w:val="24"/>
          <w:szCs w:val="24"/>
        </w:rPr>
      </w:pPr>
      <w:r>
        <w:rPr>
          <w:rFonts w:ascii="Times New Roman" w:hAnsi="Times New Roman" w:cs="Times New Roman"/>
          <w:sz w:val="24"/>
          <w:szCs w:val="24"/>
        </w:rPr>
        <w:t xml:space="preserve">İhracat çıkış noktasına taşıtılacak doğal gazın miktar bildirimleri ŞİD kuralları çerçevesinde EBT üzerinden bildirilecektir. </w:t>
      </w:r>
    </w:p>
    <w:p w:rsidR="003B3268" w:rsidRDefault="003B3268" w:rsidP="003B3268">
      <w:pPr>
        <w:ind w:firstLine="708"/>
        <w:jc w:val="both"/>
        <w:rPr>
          <w:rFonts w:ascii="Times New Roman" w:hAnsi="Times New Roman" w:cs="Times New Roman"/>
          <w:sz w:val="24"/>
          <w:szCs w:val="24"/>
        </w:rPr>
      </w:pPr>
      <w:r>
        <w:rPr>
          <w:rFonts w:ascii="Times New Roman" w:hAnsi="Times New Roman" w:cs="Times New Roman"/>
          <w:sz w:val="24"/>
          <w:szCs w:val="24"/>
        </w:rPr>
        <w:t>Rezerve edilen kapasitenin üzerinde ve Gaz Kullanım Eşik değerinin altında TMB ve TMDB yapılmaması esastır. Her halükarda, ihracata konu miktara ait TMB, iletim şebekesine teslim edilecek giriş noktalarına ait (depo, üretim ve ithalat giriş) TMB ve/veya TMDB miktarlarından fazla olamaz.</w:t>
      </w:r>
    </w:p>
    <w:p w:rsidR="003B3268" w:rsidRDefault="003B3268" w:rsidP="003B3268">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Tahsisat</w:t>
      </w:r>
    </w:p>
    <w:p w:rsidR="003B3268" w:rsidRDefault="003B3268" w:rsidP="003B3268">
      <w:pPr>
        <w:ind w:firstLine="708"/>
        <w:jc w:val="both"/>
        <w:rPr>
          <w:rFonts w:ascii="Times New Roman" w:hAnsi="Times New Roman" w:cs="Times New Roman"/>
          <w:sz w:val="24"/>
          <w:szCs w:val="24"/>
        </w:rPr>
      </w:pPr>
      <w:r>
        <w:rPr>
          <w:rFonts w:ascii="Times New Roman" w:hAnsi="Times New Roman" w:cs="Times New Roman"/>
          <w:sz w:val="24"/>
          <w:szCs w:val="24"/>
        </w:rPr>
        <w:t xml:space="preserve">Malkoçlar/Stranca İhracat Çıkış Noktasında iletim operatörleri arasında teslimatı yapılan doğal gazın Taşıtanlar arasındaki tahsisatı; Bulgartransgaz EAD ile Kuruluşumuz arasında akdedilen İşletme Anlaşmasında belirtilen usuller çerçevesinde yapılacaktır. </w:t>
      </w:r>
    </w:p>
    <w:p w:rsidR="003B3268" w:rsidRDefault="003B3268" w:rsidP="003B3268">
      <w:pPr>
        <w:ind w:firstLine="708"/>
        <w:jc w:val="both"/>
        <w:rPr>
          <w:rFonts w:ascii="Times New Roman" w:hAnsi="Times New Roman" w:cs="Times New Roman"/>
          <w:sz w:val="24"/>
          <w:szCs w:val="24"/>
        </w:rPr>
      </w:pPr>
      <w:r>
        <w:rPr>
          <w:rFonts w:ascii="Times New Roman" w:hAnsi="Times New Roman" w:cs="Times New Roman"/>
          <w:sz w:val="24"/>
          <w:szCs w:val="24"/>
        </w:rPr>
        <w:t>Bu kapsamda,</w:t>
      </w:r>
    </w:p>
    <w:p w:rsidR="003B3268" w:rsidRDefault="003B3268" w:rsidP="003B3268">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Taşıtanların TMB/TMDB’leri öncelikle iletim operatörleri arasında yürürlükte olan Dengeleme Miktarı Anlaşması (OBA) limitleri dâhilinde ise TMB=Tahsisat kuralı doğrultusunda,</w:t>
      </w:r>
    </w:p>
    <w:p w:rsidR="00B3123A" w:rsidRPr="00C720F8" w:rsidRDefault="003B3268" w:rsidP="0089240D">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Günlük teslim edilen fiziksel doğal gaz miktarının OBA limitleri dışında kaldığı durumda ise; gerçekleşen teslimat miktarları üzerinden tahsisat yapılacak olup bu tahsisat işleminde, yurt dışı operatörü ile uzun dönemli anlaşması olan Taşıtan ve/veya arz güvenliğinden sorumlu Taşıtanın tahsisatı önceliklidir. Kalan miktar ise diğer Taşıtanların kapasite rezervasyon miktarı ve/veya onaylı program miktarı (hangisi düşük ise) oranında tahsis edilir.</w:t>
      </w:r>
      <w:bookmarkStart w:id="0" w:name="_GoBack"/>
      <w:bookmarkEnd w:id="0"/>
    </w:p>
    <w:sectPr w:rsidR="00B3123A" w:rsidRPr="00C720F8" w:rsidSect="00452B45">
      <w:headerReference w:type="even" r:id="rId9"/>
      <w:headerReference w:type="default" r:id="rId10"/>
      <w:footerReference w:type="default" r:id="rId11"/>
      <w:headerReference w:type="firs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59F" w:rsidRDefault="002E359F">
      <w:pPr>
        <w:spacing w:line="240" w:lineRule="auto"/>
      </w:pPr>
      <w:r>
        <w:separator/>
      </w:r>
    </w:p>
  </w:endnote>
  <w:endnote w:type="continuationSeparator" w:id="0">
    <w:p w:rsidR="002E359F" w:rsidRDefault="002E3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2159079"/>
      <w:docPartObj>
        <w:docPartGallery w:val="AutoText"/>
      </w:docPartObj>
    </w:sdtPr>
    <w:sdtEndPr/>
    <w:sdtContent>
      <w:p w:rsidR="00CC46DA" w:rsidRDefault="00F46C83">
        <w:pPr>
          <w:pStyle w:val="AltBilgi"/>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9240D">
          <w:rPr>
            <w:rFonts w:ascii="Times New Roman" w:hAnsi="Times New Roman" w:cs="Times New Roman"/>
            <w:noProof/>
          </w:rPr>
          <w:t>1</w:t>
        </w:r>
        <w:r>
          <w:rPr>
            <w:rFonts w:ascii="Times New Roman" w:hAnsi="Times New Roman" w:cs="Times New Roman"/>
          </w:rPr>
          <w:fldChar w:fldCharType="end"/>
        </w:r>
      </w:p>
    </w:sdtContent>
  </w:sdt>
  <w:p w:rsidR="00CC46DA" w:rsidRDefault="00CC46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59F" w:rsidRDefault="002E359F">
      <w:pPr>
        <w:spacing w:after="0"/>
      </w:pPr>
      <w:r>
        <w:separator/>
      </w:r>
    </w:p>
  </w:footnote>
  <w:footnote w:type="continuationSeparator" w:id="0">
    <w:p w:rsidR="002E359F" w:rsidRDefault="002E35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9D" w:rsidRDefault="003B3268">
    <w:pPr>
      <w:pStyle w:val="stBilgi"/>
    </w:pPr>
    <w:r>
      <w:rPr>
        <w:noProof/>
        <w:lang w:eastAsia="tr-TR"/>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760720" cy="5760720"/>
          <wp:effectExtent l="0" t="0" r="0" b="0"/>
          <wp:wrapNone/>
          <wp:docPr id="3" name="Resim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9D" w:rsidRDefault="003B3268">
    <w:pPr>
      <w:pStyle w:val="stBilgi"/>
    </w:pPr>
    <w:r>
      <w:rPr>
        <w:noProof/>
        <w:lang w:eastAsia="tr-TR"/>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760720" cy="5760720"/>
          <wp:effectExtent l="0" t="0" r="0" b="0"/>
          <wp:wrapNone/>
          <wp:docPr id="2" name="Resim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9D" w:rsidRDefault="002E359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3.6pt;height:453.6pt;z-index:-251657728;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17D4"/>
    <w:multiLevelType w:val="multilevel"/>
    <w:tmpl w:val="1E5717D4"/>
    <w:lvl w:ilvl="0">
      <w:start w:val="2024"/>
      <w:numFmt w:val="bullet"/>
      <w:lvlText w:val="-"/>
      <w:lvlJc w:val="left"/>
      <w:pPr>
        <w:ind w:left="1068" w:hanging="360"/>
      </w:pPr>
      <w:rPr>
        <w:rFonts w:ascii="Times New Roman" w:eastAsiaTheme="minorHAnsi" w:hAnsi="Times New Roman"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681A7FFA"/>
    <w:multiLevelType w:val="multilevel"/>
    <w:tmpl w:val="681A7FFA"/>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754A7966"/>
    <w:multiLevelType w:val="multilevel"/>
    <w:tmpl w:val="754A7966"/>
    <w:lvl w:ilvl="0">
      <w:start w:val="202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E820487"/>
    <w:multiLevelType w:val="multilevel"/>
    <w:tmpl w:val="7E820487"/>
    <w:lvl w:ilvl="0">
      <w:start w:val="1"/>
      <w:numFmt w:val="lowerLetter"/>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9B"/>
    <w:rsid w:val="0000527C"/>
    <w:rsid w:val="000165A3"/>
    <w:rsid w:val="000333B2"/>
    <w:rsid w:val="00034987"/>
    <w:rsid w:val="00070183"/>
    <w:rsid w:val="00076F92"/>
    <w:rsid w:val="0009697C"/>
    <w:rsid w:val="000C1B72"/>
    <w:rsid w:val="000C3749"/>
    <w:rsid w:val="000D71B1"/>
    <w:rsid w:val="000F3780"/>
    <w:rsid w:val="000F3CC4"/>
    <w:rsid w:val="000F6798"/>
    <w:rsid w:val="00112283"/>
    <w:rsid w:val="00117B06"/>
    <w:rsid w:val="00134856"/>
    <w:rsid w:val="001418A2"/>
    <w:rsid w:val="001439A6"/>
    <w:rsid w:val="00163BA3"/>
    <w:rsid w:val="00172AC6"/>
    <w:rsid w:val="00177113"/>
    <w:rsid w:val="00191D9B"/>
    <w:rsid w:val="00191F53"/>
    <w:rsid w:val="001A100B"/>
    <w:rsid w:val="001A2EAA"/>
    <w:rsid w:val="001A436E"/>
    <w:rsid w:val="001B49B2"/>
    <w:rsid w:val="001B6831"/>
    <w:rsid w:val="001C02A6"/>
    <w:rsid w:val="001E2B2A"/>
    <w:rsid w:val="001E4AB5"/>
    <w:rsid w:val="001E6DE9"/>
    <w:rsid w:val="001F6524"/>
    <w:rsid w:val="00206E14"/>
    <w:rsid w:val="00214CA4"/>
    <w:rsid w:val="0021531C"/>
    <w:rsid w:val="00223397"/>
    <w:rsid w:val="0022457D"/>
    <w:rsid w:val="0024249D"/>
    <w:rsid w:val="002443C5"/>
    <w:rsid w:val="00244744"/>
    <w:rsid w:val="00245C72"/>
    <w:rsid w:val="002630FB"/>
    <w:rsid w:val="002667E1"/>
    <w:rsid w:val="00270724"/>
    <w:rsid w:val="00270982"/>
    <w:rsid w:val="00275598"/>
    <w:rsid w:val="00281ED3"/>
    <w:rsid w:val="002853A7"/>
    <w:rsid w:val="00293AE5"/>
    <w:rsid w:val="00294101"/>
    <w:rsid w:val="00297131"/>
    <w:rsid w:val="00297B73"/>
    <w:rsid w:val="002A26D3"/>
    <w:rsid w:val="002A6A7D"/>
    <w:rsid w:val="002B1168"/>
    <w:rsid w:val="002C5A90"/>
    <w:rsid w:val="002E10D4"/>
    <w:rsid w:val="002E359F"/>
    <w:rsid w:val="00321286"/>
    <w:rsid w:val="003261F4"/>
    <w:rsid w:val="00350517"/>
    <w:rsid w:val="00352F8E"/>
    <w:rsid w:val="00363968"/>
    <w:rsid w:val="00372110"/>
    <w:rsid w:val="00384821"/>
    <w:rsid w:val="00384CE1"/>
    <w:rsid w:val="003A72D2"/>
    <w:rsid w:val="003B08AE"/>
    <w:rsid w:val="003B3268"/>
    <w:rsid w:val="003B3531"/>
    <w:rsid w:val="003B3CB9"/>
    <w:rsid w:val="003B5EDD"/>
    <w:rsid w:val="003C1C6C"/>
    <w:rsid w:val="003C40D2"/>
    <w:rsid w:val="003C6634"/>
    <w:rsid w:val="003E39C2"/>
    <w:rsid w:val="003F502C"/>
    <w:rsid w:val="00405263"/>
    <w:rsid w:val="004125BE"/>
    <w:rsid w:val="00413525"/>
    <w:rsid w:val="004139DE"/>
    <w:rsid w:val="004144CD"/>
    <w:rsid w:val="00424D3D"/>
    <w:rsid w:val="00437B9F"/>
    <w:rsid w:val="004512C4"/>
    <w:rsid w:val="00451A6F"/>
    <w:rsid w:val="00452B45"/>
    <w:rsid w:val="00462FD5"/>
    <w:rsid w:val="00467641"/>
    <w:rsid w:val="00470FBD"/>
    <w:rsid w:val="004728F8"/>
    <w:rsid w:val="00473022"/>
    <w:rsid w:val="00474224"/>
    <w:rsid w:val="004745F5"/>
    <w:rsid w:val="00496FD8"/>
    <w:rsid w:val="004A196D"/>
    <w:rsid w:val="004B13DD"/>
    <w:rsid w:val="004B6290"/>
    <w:rsid w:val="004D0874"/>
    <w:rsid w:val="004E47C6"/>
    <w:rsid w:val="004E5104"/>
    <w:rsid w:val="004E5190"/>
    <w:rsid w:val="004F6261"/>
    <w:rsid w:val="00501D61"/>
    <w:rsid w:val="005261AB"/>
    <w:rsid w:val="005341EE"/>
    <w:rsid w:val="00534279"/>
    <w:rsid w:val="0053645F"/>
    <w:rsid w:val="0054111A"/>
    <w:rsid w:val="005543F5"/>
    <w:rsid w:val="00567A45"/>
    <w:rsid w:val="005749FF"/>
    <w:rsid w:val="00583031"/>
    <w:rsid w:val="00585411"/>
    <w:rsid w:val="005862D2"/>
    <w:rsid w:val="00586328"/>
    <w:rsid w:val="00597EF1"/>
    <w:rsid w:val="005A08BD"/>
    <w:rsid w:val="005B3601"/>
    <w:rsid w:val="005C6767"/>
    <w:rsid w:val="005D63C5"/>
    <w:rsid w:val="005E21E8"/>
    <w:rsid w:val="005E53FD"/>
    <w:rsid w:val="005F42CE"/>
    <w:rsid w:val="005F697E"/>
    <w:rsid w:val="00600681"/>
    <w:rsid w:val="006032CC"/>
    <w:rsid w:val="006100A9"/>
    <w:rsid w:val="0061392B"/>
    <w:rsid w:val="00626EE9"/>
    <w:rsid w:val="0064164C"/>
    <w:rsid w:val="0064704F"/>
    <w:rsid w:val="00657585"/>
    <w:rsid w:val="00666C71"/>
    <w:rsid w:val="00671BB0"/>
    <w:rsid w:val="006725F3"/>
    <w:rsid w:val="006A2C79"/>
    <w:rsid w:val="006A6AB6"/>
    <w:rsid w:val="006A75E4"/>
    <w:rsid w:val="006B1960"/>
    <w:rsid w:val="006B5596"/>
    <w:rsid w:val="006B59A4"/>
    <w:rsid w:val="006C3ADC"/>
    <w:rsid w:val="006C5E89"/>
    <w:rsid w:val="006E6991"/>
    <w:rsid w:val="006F0250"/>
    <w:rsid w:val="00706B0F"/>
    <w:rsid w:val="0072637E"/>
    <w:rsid w:val="007324AE"/>
    <w:rsid w:val="007374CC"/>
    <w:rsid w:val="00737A11"/>
    <w:rsid w:val="00746835"/>
    <w:rsid w:val="00765480"/>
    <w:rsid w:val="007828A7"/>
    <w:rsid w:val="007A2079"/>
    <w:rsid w:val="007D1979"/>
    <w:rsid w:val="007D7BFA"/>
    <w:rsid w:val="007E76C4"/>
    <w:rsid w:val="007F72C9"/>
    <w:rsid w:val="00805009"/>
    <w:rsid w:val="00811EF6"/>
    <w:rsid w:val="00816982"/>
    <w:rsid w:val="00823719"/>
    <w:rsid w:val="0082466E"/>
    <w:rsid w:val="00827120"/>
    <w:rsid w:val="008457E7"/>
    <w:rsid w:val="0085319B"/>
    <w:rsid w:val="00863FA8"/>
    <w:rsid w:val="00865B90"/>
    <w:rsid w:val="0086617A"/>
    <w:rsid w:val="0086676F"/>
    <w:rsid w:val="0088029F"/>
    <w:rsid w:val="00880DCA"/>
    <w:rsid w:val="00885237"/>
    <w:rsid w:val="008922B4"/>
    <w:rsid w:val="0089240D"/>
    <w:rsid w:val="008A005E"/>
    <w:rsid w:val="008A6C07"/>
    <w:rsid w:val="008B1B69"/>
    <w:rsid w:val="008C3111"/>
    <w:rsid w:val="008D28EB"/>
    <w:rsid w:val="008D53C2"/>
    <w:rsid w:val="008E526E"/>
    <w:rsid w:val="008E5B7F"/>
    <w:rsid w:val="008E7C88"/>
    <w:rsid w:val="008F3345"/>
    <w:rsid w:val="008F7A8C"/>
    <w:rsid w:val="00915A2E"/>
    <w:rsid w:val="00916FBA"/>
    <w:rsid w:val="00927413"/>
    <w:rsid w:val="009374B5"/>
    <w:rsid w:val="009432C3"/>
    <w:rsid w:val="009572DF"/>
    <w:rsid w:val="00961AD1"/>
    <w:rsid w:val="00977612"/>
    <w:rsid w:val="009A67DC"/>
    <w:rsid w:val="009B64F6"/>
    <w:rsid w:val="009C4B13"/>
    <w:rsid w:val="009D04A7"/>
    <w:rsid w:val="009D43D4"/>
    <w:rsid w:val="009D528F"/>
    <w:rsid w:val="009D6B06"/>
    <w:rsid w:val="009E1CA5"/>
    <w:rsid w:val="009E3A96"/>
    <w:rsid w:val="00A02153"/>
    <w:rsid w:val="00A0485D"/>
    <w:rsid w:val="00A054B8"/>
    <w:rsid w:val="00A13D8E"/>
    <w:rsid w:val="00A20D51"/>
    <w:rsid w:val="00A32FE4"/>
    <w:rsid w:val="00A4344E"/>
    <w:rsid w:val="00A51A52"/>
    <w:rsid w:val="00A51EEE"/>
    <w:rsid w:val="00A556F6"/>
    <w:rsid w:val="00A63299"/>
    <w:rsid w:val="00A63B20"/>
    <w:rsid w:val="00A652AD"/>
    <w:rsid w:val="00A736F8"/>
    <w:rsid w:val="00A7542B"/>
    <w:rsid w:val="00A82B89"/>
    <w:rsid w:val="00A859BA"/>
    <w:rsid w:val="00A85A85"/>
    <w:rsid w:val="00A86AD8"/>
    <w:rsid w:val="00AA139B"/>
    <w:rsid w:val="00AA74BA"/>
    <w:rsid w:val="00AB5954"/>
    <w:rsid w:val="00AB6901"/>
    <w:rsid w:val="00AC44E0"/>
    <w:rsid w:val="00AD688C"/>
    <w:rsid w:val="00AF3F2D"/>
    <w:rsid w:val="00B06C0F"/>
    <w:rsid w:val="00B165AD"/>
    <w:rsid w:val="00B22804"/>
    <w:rsid w:val="00B24840"/>
    <w:rsid w:val="00B26A89"/>
    <w:rsid w:val="00B3123A"/>
    <w:rsid w:val="00B36664"/>
    <w:rsid w:val="00B42902"/>
    <w:rsid w:val="00B605E6"/>
    <w:rsid w:val="00B7625A"/>
    <w:rsid w:val="00B7672A"/>
    <w:rsid w:val="00B81A60"/>
    <w:rsid w:val="00B866B5"/>
    <w:rsid w:val="00B86B1C"/>
    <w:rsid w:val="00B92479"/>
    <w:rsid w:val="00BA52A7"/>
    <w:rsid w:val="00BA67FC"/>
    <w:rsid w:val="00BB2620"/>
    <w:rsid w:val="00BB29DC"/>
    <w:rsid w:val="00BB3CE8"/>
    <w:rsid w:val="00BD7854"/>
    <w:rsid w:val="00BF33CD"/>
    <w:rsid w:val="00C02417"/>
    <w:rsid w:val="00C1266F"/>
    <w:rsid w:val="00C1635A"/>
    <w:rsid w:val="00C229DA"/>
    <w:rsid w:val="00C26447"/>
    <w:rsid w:val="00C3026E"/>
    <w:rsid w:val="00C41FA3"/>
    <w:rsid w:val="00C507C4"/>
    <w:rsid w:val="00C51B4A"/>
    <w:rsid w:val="00C720F8"/>
    <w:rsid w:val="00C75A70"/>
    <w:rsid w:val="00C77882"/>
    <w:rsid w:val="00C805F6"/>
    <w:rsid w:val="00C85B6B"/>
    <w:rsid w:val="00C87CCC"/>
    <w:rsid w:val="00C90E64"/>
    <w:rsid w:val="00C945DE"/>
    <w:rsid w:val="00CA7E8A"/>
    <w:rsid w:val="00CB5F77"/>
    <w:rsid w:val="00CB6414"/>
    <w:rsid w:val="00CC46DA"/>
    <w:rsid w:val="00CC71E2"/>
    <w:rsid w:val="00CD69F6"/>
    <w:rsid w:val="00D06DC2"/>
    <w:rsid w:val="00D13F7A"/>
    <w:rsid w:val="00D26350"/>
    <w:rsid w:val="00D27DB1"/>
    <w:rsid w:val="00D6127E"/>
    <w:rsid w:val="00D66577"/>
    <w:rsid w:val="00D67935"/>
    <w:rsid w:val="00D831FE"/>
    <w:rsid w:val="00D84210"/>
    <w:rsid w:val="00D84529"/>
    <w:rsid w:val="00D855BF"/>
    <w:rsid w:val="00D9114F"/>
    <w:rsid w:val="00DA5795"/>
    <w:rsid w:val="00DB236E"/>
    <w:rsid w:val="00DD1ACA"/>
    <w:rsid w:val="00E0075F"/>
    <w:rsid w:val="00E02042"/>
    <w:rsid w:val="00E13CF4"/>
    <w:rsid w:val="00E154BA"/>
    <w:rsid w:val="00E159F3"/>
    <w:rsid w:val="00E26FE3"/>
    <w:rsid w:val="00E359D1"/>
    <w:rsid w:val="00E708DB"/>
    <w:rsid w:val="00E777AA"/>
    <w:rsid w:val="00E803D9"/>
    <w:rsid w:val="00E8320C"/>
    <w:rsid w:val="00EA4E75"/>
    <w:rsid w:val="00EA7E5C"/>
    <w:rsid w:val="00EB06EF"/>
    <w:rsid w:val="00EC1FCC"/>
    <w:rsid w:val="00ED2B55"/>
    <w:rsid w:val="00EF185A"/>
    <w:rsid w:val="00EF4E79"/>
    <w:rsid w:val="00EF5AE0"/>
    <w:rsid w:val="00F043D1"/>
    <w:rsid w:val="00F14E63"/>
    <w:rsid w:val="00F36FD6"/>
    <w:rsid w:val="00F46C83"/>
    <w:rsid w:val="00F47DE0"/>
    <w:rsid w:val="00F57063"/>
    <w:rsid w:val="00F7545C"/>
    <w:rsid w:val="00F777FC"/>
    <w:rsid w:val="00F81CA8"/>
    <w:rsid w:val="00F95E2D"/>
    <w:rsid w:val="00FA292A"/>
    <w:rsid w:val="00FA7632"/>
    <w:rsid w:val="00FB1479"/>
    <w:rsid w:val="00FB3367"/>
    <w:rsid w:val="00FC3D9B"/>
    <w:rsid w:val="00FD11F0"/>
    <w:rsid w:val="00FE225C"/>
    <w:rsid w:val="00FE5B6D"/>
    <w:rsid w:val="00FE7824"/>
    <w:rsid w:val="00FF0FC1"/>
    <w:rsid w:val="00FF7190"/>
    <w:rsid w:val="00FF788A"/>
    <w:rsid w:val="5D586B7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AC8DB8-066B-485C-A337-5FFB710A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Segoe UI" w:hAnsi="Segoe UI" w:cs="Segoe UI"/>
      <w:sz w:val="18"/>
      <w:szCs w:val="18"/>
    </w:rPr>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semiHidden/>
    <w:unhideWhenUsed/>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Pr>
      <w:b/>
      <w:bCs/>
    </w:rPr>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AklamaMetniChar">
    <w:name w:val="Açıklama Metni Char"/>
    <w:basedOn w:val="VarsaylanParagrafYazTipi"/>
    <w:link w:val="AklamaMetni"/>
    <w:uiPriority w:val="99"/>
    <w:semiHidden/>
    <w:rPr>
      <w:sz w:val="20"/>
      <w:szCs w:val="20"/>
    </w:rPr>
  </w:style>
  <w:style w:type="character" w:customStyle="1" w:styleId="AklamaKonusuChar">
    <w:name w:val="Açıklama Konusu Char"/>
    <w:basedOn w:val="AklamaMetniChar"/>
    <w:link w:val="AklamaKonusu"/>
    <w:uiPriority w:val="99"/>
    <w:semiHidden/>
    <w:rPr>
      <w:b/>
      <w:bCs/>
      <w:sz w:val="20"/>
      <w:szCs w:val="20"/>
    </w:rPr>
  </w:style>
  <w:style w:type="character" w:customStyle="1" w:styleId="BalonMetniChar">
    <w:name w:val="Balon Metni Char"/>
    <w:basedOn w:val="VarsaylanParagrafYazTipi"/>
    <w:link w:val="BalonMetni"/>
    <w:uiPriority w:val="99"/>
    <w:semiHidden/>
    <w:qFormat/>
    <w:rPr>
      <w:rFonts w:ascii="Segoe UI" w:hAnsi="Segoe UI" w:cs="Segoe UI"/>
      <w:sz w:val="18"/>
      <w:szCs w:val="18"/>
    </w:r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A94A-4CF9-4384-B4F5-7556B747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4138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Aylin NASUH</dc:creator>
  <cp:lastModifiedBy>Derya KAHRAMAN</cp:lastModifiedBy>
  <cp:revision>2</cp:revision>
  <dcterms:created xsi:type="dcterms:W3CDTF">2025-03-07T06:49:00Z</dcterms:created>
  <dcterms:modified xsi:type="dcterms:W3CDTF">2025-03-07T06:49:00Z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EA6130EAD0954E22844BC366E3355AC3_13</vt:lpwstr>
  </property>
</Properties>
</file>